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4658" w14:textId="77777777" w:rsidR="00E960FA" w:rsidRDefault="0012208E">
      <w:pPr>
        <w:pStyle w:val="Nagwek1"/>
        <w:spacing w:before="72"/>
        <w:ind w:left="382" w:firstLine="0"/>
      </w:pPr>
      <w:r>
        <w:rPr>
          <w:color w:val="FF0000"/>
        </w:rPr>
        <w:t>OGÓLNE WARUNKI SPRZEDAŻY FIRMY DEMARK SP. Z O.O. W TORUNIU</w:t>
      </w:r>
    </w:p>
    <w:p w14:paraId="7A21582F" w14:textId="0E6ADD84" w:rsidR="00E960FA" w:rsidRDefault="0012208E">
      <w:pPr>
        <w:ind w:left="3561" w:right="3558"/>
        <w:jc w:val="center"/>
        <w:rPr>
          <w:b/>
          <w:sz w:val="24"/>
        </w:rPr>
      </w:pPr>
      <w:proofErr w:type="spellStart"/>
      <w:r>
        <w:rPr>
          <w:b/>
          <w:color w:val="FF0000"/>
          <w:sz w:val="24"/>
        </w:rPr>
        <w:t>Wydanie</w:t>
      </w:r>
      <w:proofErr w:type="spellEnd"/>
      <w:r>
        <w:rPr>
          <w:b/>
          <w:color w:val="FF0000"/>
          <w:sz w:val="24"/>
        </w:rPr>
        <w:t xml:space="preserve">: </w:t>
      </w:r>
      <w:r w:rsidR="004435C8">
        <w:rPr>
          <w:b/>
          <w:color w:val="FF0000"/>
          <w:sz w:val="24"/>
        </w:rPr>
        <w:t>20</w:t>
      </w:r>
      <w:r>
        <w:rPr>
          <w:b/>
          <w:color w:val="FF0000"/>
          <w:sz w:val="24"/>
        </w:rPr>
        <w:t>.</w:t>
      </w:r>
      <w:r w:rsidR="004435C8">
        <w:rPr>
          <w:b/>
          <w:color w:val="FF0000"/>
          <w:sz w:val="24"/>
        </w:rPr>
        <w:t>12</w:t>
      </w:r>
      <w:r>
        <w:rPr>
          <w:b/>
          <w:color w:val="FF0000"/>
          <w:sz w:val="24"/>
        </w:rPr>
        <w:t>.201</w:t>
      </w:r>
      <w:r w:rsidR="004435C8">
        <w:rPr>
          <w:b/>
          <w:color w:val="FF0000"/>
          <w:sz w:val="24"/>
        </w:rPr>
        <w:t>9</w:t>
      </w:r>
      <w:bookmarkStart w:id="0" w:name="_GoBack"/>
      <w:bookmarkEnd w:id="0"/>
    </w:p>
    <w:p w14:paraId="6C410872" w14:textId="77777777" w:rsidR="00E960FA" w:rsidRDefault="00E960FA">
      <w:pPr>
        <w:pStyle w:val="Tekstpodstawowy"/>
        <w:ind w:left="0" w:firstLine="0"/>
        <w:jc w:val="left"/>
        <w:rPr>
          <w:b/>
          <w:sz w:val="26"/>
        </w:rPr>
      </w:pPr>
    </w:p>
    <w:p w14:paraId="15EDE38B" w14:textId="77777777" w:rsidR="00E960FA" w:rsidRDefault="00E960FA">
      <w:pPr>
        <w:pStyle w:val="Tekstpodstawowy"/>
        <w:ind w:left="0" w:firstLine="0"/>
        <w:jc w:val="left"/>
        <w:rPr>
          <w:b/>
          <w:sz w:val="22"/>
        </w:rPr>
      </w:pPr>
    </w:p>
    <w:p w14:paraId="623F1526" w14:textId="77777777" w:rsidR="00E960FA" w:rsidRDefault="0012208E">
      <w:pPr>
        <w:pStyle w:val="Akapitzlist"/>
        <w:numPr>
          <w:ilvl w:val="0"/>
          <w:numId w:val="2"/>
        </w:numPr>
        <w:tabs>
          <w:tab w:val="left" w:pos="690"/>
        </w:tabs>
        <w:spacing w:before="1"/>
        <w:ind w:hanging="213"/>
        <w:jc w:val="left"/>
        <w:rPr>
          <w:b/>
          <w:sz w:val="24"/>
        </w:rPr>
      </w:pPr>
      <w:proofErr w:type="spellStart"/>
      <w:r>
        <w:rPr>
          <w:b/>
          <w:color w:val="323232"/>
          <w:sz w:val="24"/>
        </w:rPr>
        <w:t>Postanowienia</w:t>
      </w:r>
      <w:proofErr w:type="spellEnd"/>
      <w:r>
        <w:rPr>
          <w:b/>
          <w:color w:val="323232"/>
          <w:spacing w:val="-1"/>
          <w:sz w:val="24"/>
        </w:rPr>
        <w:t xml:space="preserve"> </w:t>
      </w:r>
      <w:proofErr w:type="spellStart"/>
      <w:r>
        <w:rPr>
          <w:b/>
          <w:color w:val="323232"/>
          <w:sz w:val="24"/>
        </w:rPr>
        <w:t>ogólne</w:t>
      </w:r>
      <w:proofErr w:type="spellEnd"/>
    </w:p>
    <w:p w14:paraId="291B41DA" w14:textId="77777777" w:rsidR="00E960FA" w:rsidRDefault="00E960FA">
      <w:pPr>
        <w:pStyle w:val="Tekstpodstawowy"/>
        <w:spacing w:before="6"/>
        <w:ind w:left="0" w:firstLine="0"/>
        <w:jc w:val="left"/>
        <w:rPr>
          <w:b/>
          <w:sz w:val="23"/>
        </w:rPr>
      </w:pPr>
    </w:p>
    <w:p w14:paraId="15BA0304" w14:textId="77777777" w:rsidR="00E960FA" w:rsidRDefault="0012208E">
      <w:pPr>
        <w:pStyle w:val="Akapitzlist"/>
        <w:numPr>
          <w:ilvl w:val="0"/>
          <w:numId w:val="1"/>
        </w:numPr>
        <w:tabs>
          <w:tab w:val="left" w:pos="836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Ogólne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zawierania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firmę</w:t>
      </w:r>
      <w:proofErr w:type="spellEnd"/>
      <w:r>
        <w:rPr>
          <w:sz w:val="24"/>
        </w:rPr>
        <w:t xml:space="preserve"> Demark Sp. z o.o. </w:t>
      </w:r>
      <w:proofErr w:type="spellStart"/>
      <w:r>
        <w:rPr>
          <w:sz w:val="24"/>
        </w:rPr>
        <w:t>zwaną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dalej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Sprzedawcą</w:t>
      </w:r>
      <w:proofErr w:type="spellEnd"/>
      <w:r>
        <w:rPr>
          <w:sz w:val="24"/>
        </w:rPr>
        <w:t>.</w:t>
      </w:r>
    </w:p>
    <w:p w14:paraId="1C127A7C" w14:textId="77777777" w:rsidR="00E960FA" w:rsidRDefault="0012208E">
      <w:pPr>
        <w:pStyle w:val="Akapitzlist"/>
        <w:numPr>
          <w:ilvl w:val="0"/>
          <w:numId w:val="1"/>
        </w:numPr>
        <w:tabs>
          <w:tab w:val="left" w:pos="837"/>
        </w:tabs>
        <w:ind w:right="107"/>
        <w:jc w:val="both"/>
        <w:rPr>
          <w:sz w:val="24"/>
        </w:rPr>
      </w:pPr>
      <w:proofErr w:type="spellStart"/>
      <w:r>
        <w:rPr>
          <w:sz w:val="24"/>
        </w:rPr>
        <w:t>Ogólne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zwane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dalej</w:t>
      </w:r>
      <w:proofErr w:type="spellEnd"/>
      <w:r>
        <w:rPr>
          <w:sz w:val="24"/>
        </w:rPr>
        <w:t xml:space="preserve"> OWS, </w:t>
      </w:r>
      <w:proofErr w:type="spellStart"/>
      <w:r>
        <w:rPr>
          <w:sz w:val="24"/>
        </w:rPr>
        <w:t>stanowią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wszystkich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zawieranych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Sprzedawcą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określają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wzajemne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pomiędzy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Sprzedawcą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Kupującym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Postanowienia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Ogólnych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zmienione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jedynie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formie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 xml:space="preserve"> pod </w:t>
      </w:r>
      <w:proofErr w:type="spellStart"/>
      <w:r>
        <w:rPr>
          <w:sz w:val="24"/>
        </w:rPr>
        <w:t>rygorem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nieważności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Zawarcie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odrębnej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wyłącza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stosowanie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ogólnych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tylko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uregulowanym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niej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sposób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odmienny</w:t>
      </w:r>
      <w:proofErr w:type="spellEnd"/>
      <w:r>
        <w:rPr>
          <w:sz w:val="24"/>
        </w:rPr>
        <w:t>.</w:t>
      </w:r>
    </w:p>
    <w:p w14:paraId="0BF1AC36" w14:textId="77777777" w:rsidR="00E960FA" w:rsidRDefault="0012208E">
      <w:pPr>
        <w:pStyle w:val="Akapitzlist"/>
        <w:numPr>
          <w:ilvl w:val="0"/>
          <w:numId w:val="1"/>
        </w:numPr>
        <w:tabs>
          <w:tab w:val="left" w:pos="837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Ogólne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dostępne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stronie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internetowej</w:t>
      </w:r>
      <w:proofErr w:type="spellEnd"/>
      <w:r>
        <w:rPr>
          <w:sz w:val="24"/>
        </w:rPr>
        <w:t xml:space="preserve"> </w:t>
      </w:r>
      <w:hyperlink r:id="rId7">
        <w:r>
          <w:rPr>
            <w:sz w:val="24"/>
          </w:rPr>
          <w:t>www.demark.net.pl,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dodatkowo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wiadomości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najpóźniej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dniu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składania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niego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>.</w:t>
      </w:r>
    </w:p>
    <w:p w14:paraId="516839D4" w14:textId="77777777" w:rsidR="00E960FA" w:rsidRDefault="0012208E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2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sprawach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nieuregulowanych</w:t>
      </w:r>
      <w:proofErr w:type="spellEnd"/>
      <w:r>
        <w:rPr>
          <w:sz w:val="24"/>
        </w:rPr>
        <w:t xml:space="preserve"> w OWS </w:t>
      </w:r>
      <w:proofErr w:type="spellStart"/>
      <w:r>
        <w:rPr>
          <w:sz w:val="24"/>
        </w:rPr>
        <w:t>stosowane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przepisy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polskiego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, w </w:t>
      </w:r>
      <w:proofErr w:type="spellStart"/>
      <w:r>
        <w:rPr>
          <w:sz w:val="24"/>
        </w:rPr>
        <w:t>szczególności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Kodeks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Cywilny</w:t>
      </w:r>
      <w:proofErr w:type="spellEnd"/>
      <w:r>
        <w:rPr>
          <w:sz w:val="24"/>
        </w:rPr>
        <w:t>.</w:t>
      </w:r>
    </w:p>
    <w:p w14:paraId="267F6C48" w14:textId="77777777" w:rsidR="00E960FA" w:rsidRDefault="0012208E">
      <w:pPr>
        <w:pStyle w:val="Akapitzlist"/>
        <w:numPr>
          <w:ilvl w:val="0"/>
          <w:numId w:val="1"/>
        </w:numPr>
        <w:tabs>
          <w:tab w:val="left" w:pos="895"/>
          <w:tab w:val="left" w:pos="897"/>
        </w:tabs>
        <w:ind w:left="896" w:hanging="420"/>
        <w:rPr>
          <w:sz w:val="24"/>
        </w:rPr>
      </w:pPr>
      <w:proofErr w:type="spellStart"/>
      <w:r>
        <w:rPr>
          <w:sz w:val="24"/>
        </w:rPr>
        <w:t>Definicje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stosowane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Ogólnych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oznaczają</w:t>
      </w:r>
      <w:proofErr w:type="spellEnd"/>
      <w:r>
        <w:rPr>
          <w:sz w:val="24"/>
        </w:rPr>
        <w:t>:</w:t>
      </w:r>
    </w:p>
    <w:p w14:paraId="0169E013" w14:textId="77777777" w:rsidR="00E960FA" w:rsidRDefault="0012208E">
      <w:pPr>
        <w:pStyle w:val="Akapitzlist"/>
        <w:numPr>
          <w:ilvl w:val="1"/>
          <w:numId w:val="1"/>
        </w:numPr>
        <w:tabs>
          <w:tab w:val="left" w:pos="1197"/>
        </w:tabs>
        <w:rPr>
          <w:sz w:val="24"/>
        </w:rPr>
      </w:pPr>
      <w:r>
        <w:rPr>
          <w:sz w:val="24"/>
        </w:rPr>
        <w:t xml:space="preserve">OWS – </w:t>
      </w:r>
      <w:proofErr w:type="spellStart"/>
      <w:r>
        <w:rPr>
          <w:sz w:val="24"/>
        </w:rPr>
        <w:t>Ogólne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Demark Sp. z</w:t>
      </w:r>
      <w:r>
        <w:rPr>
          <w:spacing w:val="-3"/>
          <w:sz w:val="24"/>
        </w:rPr>
        <w:t xml:space="preserve"> </w:t>
      </w:r>
      <w:r>
        <w:rPr>
          <w:sz w:val="24"/>
        </w:rPr>
        <w:t>o.o.</w:t>
      </w:r>
    </w:p>
    <w:p w14:paraId="55C5EB2E" w14:textId="77777777" w:rsidR="00E960FA" w:rsidRDefault="0012208E">
      <w:pPr>
        <w:pStyle w:val="Akapitzlist"/>
        <w:numPr>
          <w:ilvl w:val="1"/>
          <w:numId w:val="1"/>
        </w:numPr>
        <w:tabs>
          <w:tab w:val="left" w:pos="1197"/>
        </w:tabs>
        <w:rPr>
          <w:sz w:val="24"/>
        </w:rPr>
      </w:pP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– Demark Sp. z o.o., 87-100 Toruń, ul. </w:t>
      </w:r>
      <w:proofErr w:type="spellStart"/>
      <w:r>
        <w:rPr>
          <w:sz w:val="24"/>
        </w:rPr>
        <w:t>Dworcowa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11;</w:t>
      </w:r>
    </w:p>
    <w:p w14:paraId="24DC18FC" w14:textId="77777777" w:rsidR="00E960FA" w:rsidRDefault="0012208E">
      <w:pPr>
        <w:pStyle w:val="Akapitzlist"/>
        <w:numPr>
          <w:ilvl w:val="1"/>
          <w:numId w:val="1"/>
        </w:numPr>
        <w:tabs>
          <w:tab w:val="left" w:pos="1197"/>
        </w:tabs>
        <w:rPr>
          <w:sz w:val="24"/>
        </w:rPr>
      </w:pP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podmiot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będący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>;</w:t>
      </w:r>
    </w:p>
    <w:p w14:paraId="2AB72F40" w14:textId="77777777" w:rsidR="00E960FA" w:rsidRDefault="0012208E">
      <w:pPr>
        <w:pStyle w:val="Akapitzlist"/>
        <w:numPr>
          <w:ilvl w:val="1"/>
          <w:numId w:val="1"/>
        </w:numPr>
        <w:tabs>
          <w:tab w:val="left" w:pos="1197"/>
        </w:tabs>
        <w:rPr>
          <w:sz w:val="24"/>
        </w:rPr>
      </w:pPr>
      <w:proofErr w:type="spellStart"/>
      <w:r>
        <w:rPr>
          <w:sz w:val="24"/>
        </w:rPr>
        <w:t>Strony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>;</w:t>
      </w:r>
    </w:p>
    <w:p w14:paraId="509C6A76" w14:textId="77777777" w:rsidR="00E960FA" w:rsidRDefault="0012208E">
      <w:pPr>
        <w:pStyle w:val="Akapitzlist"/>
        <w:numPr>
          <w:ilvl w:val="1"/>
          <w:numId w:val="1"/>
        </w:numPr>
        <w:tabs>
          <w:tab w:val="left" w:pos="1197"/>
        </w:tabs>
        <w:ind w:right="110"/>
        <w:rPr>
          <w:sz w:val="24"/>
        </w:rPr>
      </w:pPr>
      <w:proofErr w:type="spellStart"/>
      <w:r>
        <w:rPr>
          <w:sz w:val="24"/>
        </w:rPr>
        <w:t>Towar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towary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handlowe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będące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pomiędzy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Sprzedającym</w:t>
      </w:r>
      <w:proofErr w:type="spellEnd"/>
      <w:r>
        <w:rPr>
          <w:sz w:val="24"/>
        </w:rPr>
        <w:t xml:space="preserve"> 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Kupującym</w:t>
      </w:r>
      <w:proofErr w:type="spellEnd"/>
      <w:r>
        <w:rPr>
          <w:sz w:val="24"/>
        </w:rPr>
        <w:t>;</w:t>
      </w:r>
    </w:p>
    <w:p w14:paraId="1BAD2442" w14:textId="77777777" w:rsidR="00E960FA" w:rsidRDefault="00E960FA">
      <w:pPr>
        <w:pStyle w:val="Tekstpodstawowy"/>
        <w:spacing w:before="4"/>
        <w:ind w:left="0" w:firstLine="0"/>
        <w:jc w:val="left"/>
      </w:pPr>
    </w:p>
    <w:p w14:paraId="5C54C753" w14:textId="77777777" w:rsidR="00E960FA" w:rsidRDefault="0012208E">
      <w:pPr>
        <w:pStyle w:val="Nagwek1"/>
        <w:numPr>
          <w:ilvl w:val="0"/>
          <w:numId w:val="2"/>
        </w:numPr>
        <w:tabs>
          <w:tab w:val="left" w:pos="424"/>
        </w:tabs>
        <w:spacing w:before="1"/>
        <w:ind w:left="423" w:hanging="307"/>
        <w:jc w:val="left"/>
      </w:pPr>
      <w:proofErr w:type="spellStart"/>
      <w:r>
        <w:rPr>
          <w:color w:val="323232"/>
        </w:rPr>
        <w:t>Zawarcie</w:t>
      </w:r>
      <w:proofErr w:type="spellEnd"/>
      <w:r>
        <w:rPr>
          <w:color w:val="323232"/>
          <w:spacing w:val="-1"/>
        </w:rPr>
        <w:t xml:space="preserve"> </w:t>
      </w:r>
      <w:proofErr w:type="spellStart"/>
      <w:r>
        <w:rPr>
          <w:color w:val="323232"/>
        </w:rPr>
        <w:t>umowy</w:t>
      </w:r>
      <w:proofErr w:type="spellEnd"/>
    </w:p>
    <w:p w14:paraId="3B6FA2B4" w14:textId="77777777" w:rsidR="00E960FA" w:rsidRDefault="00E960FA">
      <w:pPr>
        <w:pStyle w:val="Tekstpodstawowy"/>
        <w:spacing w:before="6"/>
        <w:ind w:left="0" w:firstLine="0"/>
        <w:jc w:val="left"/>
        <w:rPr>
          <w:b/>
          <w:sz w:val="23"/>
        </w:rPr>
      </w:pPr>
    </w:p>
    <w:p w14:paraId="44C1AE47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Podstawą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pisemne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złożone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odpowiedzi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ofertę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>.</w:t>
      </w:r>
    </w:p>
    <w:p w14:paraId="5547C04B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dopuszcza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możliwość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przyjęcia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innej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pisemna</w:t>
      </w:r>
      <w:proofErr w:type="spellEnd"/>
      <w:r>
        <w:rPr>
          <w:sz w:val="24"/>
        </w:rPr>
        <w:t xml:space="preserve">, ale </w:t>
      </w:r>
      <w:proofErr w:type="spellStart"/>
      <w:r>
        <w:rPr>
          <w:sz w:val="24"/>
        </w:rPr>
        <w:t>wymaga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specjalnego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 z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Kupującym</w:t>
      </w:r>
      <w:proofErr w:type="spellEnd"/>
      <w:r>
        <w:rPr>
          <w:sz w:val="24"/>
        </w:rPr>
        <w:t>.</w:t>
      </w:r>
    </w:p>
    <w:p w14:paraId="3CA8E9AB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Zmiana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odrębne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uzgodnienia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ważne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chwilą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potwierdzenia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Sprzedawcę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mają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zastosowanie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wyłącznie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transakcji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handlowej</w:t>
      </w:r>
      <w:proofErr w:type="spellEnd"/>
      <w:r>
        <w:rPr>
          <w:sz w:val="24"/>
        </w:rPr>
        <w:t>.</w:t>
      </w:r>
    </w:p>
    <w:p w14:paraId="37191898" w14:textId="77777777" w:rsidR="00E960FA" w:rsidRDefault="0012208E">
      <w:pPr>
        <w:pStyle w:val="Akapitzlist"/>
        <w:numPr>
          <w:ilvl w:val="1"/>
          <w:numId w:val="2"/>
        </w:numPr>
        <w:tabs>
          <w:tab w:val="left" w:pos="837"/>
        </w:tabs>
        <w:ind w:right="107"/>
        <w:jc w:val="both"/>
        <w:rPr>
          <w:sz w:val="24"/>
        </w:rPr>
      </w:pPr>
      <w:r>
        <w:rPr>
          <w:sz w:val="24"/>
        </w:rPr>
        <w:t xml:space="preserve">Odwołanie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 xml:space="preserve"> pod </w:t>
      </w:r>
      <w:proofErr w:type="spellStart"/>
      <w:r>
        <w:rPr>
          <w:sz w:val="24"/>
        </w:rPr>
        <w:t>rygorem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nieważności</w:t>
      </w:r>
      <w:proofErr w:type="spellEnd"/>
      <w:r>
        <w:rPr>
          <w:sz w:val="24"/>
        </w:rPr>
        <w:t xml:space="preserve">.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wycofania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całości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częściowo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zobowiązany</w:t>
      </w:r>
      <w:proofErr w:type="spellEnd"/>
      <w:r>
        <w:rPr>
          <w:sz w:val="24"/>
        </w:rPr>
        <w:t xml:space="preserve"> jest do </w:t>
      </w:r>
      <w:proofErr w:type="spellStart"/>
      <w:r>
        <w:rPr>
          <w:sz w:val="24"/>
        </w:rPr>
        <w:t>pokrycia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wszystkich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kosztów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poniesionych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związanych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realizacją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>.</w:t>
      </w:r>
    </w:p>
    <w:p w14:paraId="58D14008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spacing w:before="1"/>
        <w:ind w:left="835" w:right="108" w:hanging="359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gdy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przyczyn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niezależnych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dotyczących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producenta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mógł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całości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części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przysługiwać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miesięcy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odstąpienia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niej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całości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części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odpowiedzialności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ewentualną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powstałą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szkodę</w:t>
      </w:r>
      <w:proofErr w:type="spellEnd"/>
      <w:r>
        <w:rPr>
          <w:sz w:val="24"/>
        </w:rPr>
        <w:t>.</w:t>
      </w:r>
    </w:p>
    <w:p w14:paraId="6E925150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07"/>
        <w:jc w:val="both"/>
        <w:rPr>
          <w:sz w:val="24"/>
        </w:rPr>
      </w:pPr>
      <w:proofErr w:type="spellStart"/>
      <w:r>
        <w:rPr>
          <w:sz w:val="24"/>
        </w:rPr>
        <w:t>Odszkodowanie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szkody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wyrządzone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Kupującemu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związku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niewykonaniem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nienależytym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ograniczone</w:t>
      </w:r>
      <w:proofErr w:type="spellEnd"/>
      <w:r>
        <w:rPr>
          <w:sz w:val="24"/>
        </w:rPr>
        <w:t xml:space="preserve"> jest w </w:t>
      </w:r>
      <w:proofErr w:type="spellStart"/>
      <w:r>
        <w:rPr>
          <w:sz w:val="24"/>
        </w:rPr>
        <w:t>każdym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objętego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odpowiadać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jedynie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możliwe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przewidzenia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typowe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>.</w:t>
      </w:r>
    </w:p>
    <w:p w14:paraId="7E46652B" w14:textId="77777777" w:rsidR="00E960FA" w:rsidRDefault="0012208E">
      <w:pPr>
        <w:pStyle w:val="Nagwek1"/>
        <w:numPr>
          <w:ilvl w:val="0"/>
          <w:numId w:val="2"/>
        </w:numPr>
        <w:tabs>
          <w:tab w:val="left" w:pos="877"/>
        </w:tabs>
        <w:spacing w:before="5"/>
        <w:ind w:left="876" w:hanging="400"/>
        <w:jc w:val="left"/>
      </w:pPr>
      <w:proofErr w:type="spellStart"/>
      <w:r>
        <w:rPr>
          <w:color w:val="323232"/>
        </w:rPr>
        <w:t>Ilość</w:t>
      </w:r>
      <w:proofErr w:type="spellEnd"/>
      <w:r>
        <w:rPr>
          <w:color w:val="323232"/>
        </w:rPr>
        <w:t xml:space="preserve"> i</w:t>
      </w:r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</w:rPr>
        <w:t>jakość</w:t>
      </w:r>
      <w:proofErr w:type="spellEnd"/>
    </w:p>
    <w:p w14:paraId="6DA40D3E" w14:textId="77777777" w:rsidR="00E960FA" w:rsidRDefault="00E960FA">
      <w:pPr>
        <w:sectPr w:rsidR="00E960FA">
          <w:footerReference w:type="default" r:id="rId8"/>
          <w:type w:val="continuous"/>
          <w:pgSz w:w="11900" w:h="16840"/>
          <w:pgMar w:top="1340" w:right="1300" w:bottom="980" w:left="1300" w:header="708" w:footer="783" w:gutter="0"/>
          <w:pgNumType w:start="1"/>
          <w:cols w:space="708"/>
        </w:sectPr>
      </w:pPr>
    </w:p>
    <w:p w14:paraId="499CEFA5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spacing w:before="84"/>
        <w:ind w:left="835" w:right="108" w:hanging="359"/>
        <w:jc w:val="both"/>
        <w:rPr>
          <w:sz w:val="24"/>
        </w:rPr>
      </w:pPr>
      <w:proofErr w:type="spellStart"/>
      <w:r>
        <w:rPr>
          <w:sz w:val="24"/>
        </w:rPr>
        <w:lastRenderedPageBreak/>
        <w:t>Towar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sprzedawany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ilościowo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według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rzeczywistej</w:t>
      </w:r>
      <w:proofErr w:type="spellEnd"/>
      <w:r>
        <w:rPr>
          <w:sz w:val="24"/>
        </w:rPr>
        <w:t xml:space="preserve">.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fakturowane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normami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określającymi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zastrzega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margines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dokładności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ilościowej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poziomie</w:t>
      </w:r>
      <w:proofErr w:type="spellEnd"/>
      <w:r>
        <w:rPr>
          <w:sz w:val="24"/>
        </w:rPr>
        <w:t xml:space="preserve"> +/-</w:t>
      </w:r>
      <w:r>
        <w:rPr>
          <w:spacing w:val="-4"/>
          <w:sz w:val="24"/>
        </w:rPr>
        <w:t xml:space="preserve"> </w:t>
      </w:r>
      <w:r>
        <w:rPr>
          <w:sz w:val="24"/>
        </w:rPr>
        <w:t>5%.</w:t>
      </w:r>
    </w:p>
    <w:p w14:paraId="24A26AFA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left="835" w:right="107" w:hanging="359"/>
        <w:jc w:val="both"/>
        <w:rPr>
          <w:sz w:val="24"/>
        </w:rPr>
      </w:pPr>
      <w:proofErr w:type="spellStart"/>
      <w:r>
        <w:rPr>
          <w:sz w:val="24"/>
        </w:rPr>
        <w:t>Zgłaszanie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jakichkolwiek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ilościowych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nastąpić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niezwłocznie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odbiorze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później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ciągu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roboczego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odbioru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, pod </w:t>
      </w:r>
      <w:proofErr w:type="spellStart"/>
      <w:r>
        <w:rPr>
          <w:sz w:val="24"/>
        </w:rPr>
        <w:t>rygorem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utraty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uprawnień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tytułu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odstępstw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ilościowych</w:t>
      </w:r>
      <w:proofErr w:type="spellEnd"/>
      <w:r>
        <w:rPr>
          <w:sz w:val="24"/>
        </w:rPr>
        <w:t>.</w:t>
      </w:r>
    </w:p>
    <w:p w14:paraId="05EED117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odpowiada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rzetelność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technicznych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jakościowych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ilościowych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zawartych</w:t>
      </w:r>
      <w:proofErr w:type="spellEnd"/>
      <w:r>
        <w:rPr>
          <w:sz w:val="24"/>
        </w:rPr>
        <w:t xml:space="preserve"> w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zamówieniu</w:t>
      </w:r>
      <w:proofErr w:type="spellEnd"/>
      <w:r>
        <w:rPr>
          <w:sz w:val="24"/>
        </w:rPr>
        <w:t>.</w:t>
      </w:r>
    </w:p>
    <w:p w14:paraId="35D811C8" w14:textId="77777777" w:rsidR="00E960FA" w:rsidRDefault="0012208E">
      <w:pPr>
        <w:pStyle w:val="Akapitzlist"/>
        <w:numPr>
          <w:ilvl w:val="1"/>
          <w:numId w:val="2"/>
        </w:numPr>
        <w:tabs>
          <w:tab w:val="left" w:pos="837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zobowiązany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dostarczyć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zamówieniem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odpowiada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dalsze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zastosowanie</w:t>
      </w:r>
      <w:proofErr w:type="spellEnd"/>
      <w:r>
        <w:rPr>
          <w:sz w:val="24"/>
        </w:rPr>
        <w:t>.</w:t>
      </w:r>
    </w:p>
    <w:p w14:paraId="3D2F08DD" w14:textId="77777777" w:rsidR="00E960FA" w:rsidRDefault="0012208E">
      <w:pPr>
        <w:pStyle w:val="Akapitzlist"/>
        <w:numPr>
          <w:ilvl w:val="1"/>
          <w:numId w:val="2"/>
        </w:numPr>
        <w:tabs>
          <w:tab w:val="left" w:pos="837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powinien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zawarto</w:t>
      </w:r>
      <w:proofErr w:type="spellEnd"/>
      <w:r>
        <w:rPr>
          <w:sz w:val="24"/>
        </w:rPr>
        <w:t xml:space="preserve"> to w </w:t>
      </w:r>
      <w:proofErr w:type="spellStart"/>
      <w:r>
        <w:rPr>
          <w:sz w:val="24"/>
        </w:rPr>
        <w:t>umowie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dołączyć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certyfikaty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deklaracje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potwierdzające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weryfikuje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technicznych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zawartych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wyżej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wymienionych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dokumentach</w:t>
      </w:r>
      <w:proofErr w:type="spellEnd"/>
      <w:r>
        <w:rPr>
          <w:sz w:val="24"/>
        </w:rPr>
        <w:t>.</w:t>
      </w:r>
    </w:p>
    <w:p w14:paraId="5073CCA4" w14:textId="77777777" w:rsidR="00E960FA" w:rsidRDefault="0012208E">
      <w:pPr>
        <w:pStyle w:val="Akapitzlist"/>
        <w:numPr>
          <w:ilvl w:val="1"/>
          <w:numId w:val="2"/>
        </w:numPr>
        <w:tabs>
          <w:tab w:val="left" w:pos="837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Usługa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atestów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certyfikatów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opłacie</w:t>
      </w:r>
      <w:proofErr w:type="spellEnd"/>
      <w:r>
        <w:rPr>
          <w:sz w:val="24"/>
        </w:rPr>
        <w:t xml:space="preserve"> i z </w:t>
      </w:r>
      <w:proofErr w:type="spellStart"/>
      <w:r>
        <w:rPr>
          <w:sz w:val="24"/>
        </w:rPr>
        <w:t>przyczyn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niezależnych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nastąpić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dostawy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>.</w:t>
      </w:r>
    </w:p>
    <w:p w14:paraId="057E9EED" w14:textId="77777777" w:rsidR="00E960FA" w:rsidRDefault="00E960FA">
      <w:pPr>
        <w:pStyle w:val="Tekstpodstawowy"/>
        <w:spacing w:before="5"/>
        <w:ind w:left="0" w:firstLine="0"/>
        <w:jc w:val="left"/>
      </w:pPr>
    </w:p>
    <w:p w14:paraId="65A39A6D" w14:textId="77777777" w:rsidR="00E960FA" w:rsidRDefault="0012208E">
      <w:pPr>
        <w:pStyle w:val="Nagwek1"/>
        <w:numPr>
          <w:ilvl w:val="0"/>
          <w:numId w:val="2"/>
        </w:numPr>
        <w:tabs>
          <w:tab w:val="left" w:pos="863"/>
        </w:tabs>
        <w:ind w:left="862" w:hanging="386"/>
        <w:jc w:val="left"/>
      </w:pPr>
      <w:r>
        <w:rPr>
          <w:color w:val="323232"/>
        </w:rPr>
        <w:t>Cena</w:t>
      </w:r>
    </w:p>
    <w:p w14:paraId="50682781" w14:textId="77777777" w:rsidR="00E960FA" w:rsidRDefault="00E960FA">
      <w:pPr>
        <w:pStyle w:val="Tekstpodstawowy"/>
        <w:spacing w:before="6"/>
        <w:ind w:left="0" w:firstLine="0"/>
        <w:jc w:val="left"/>
        <w:rPr>
          <w:b/>
          <w:sz w:val="23"/>
        </w:rPr>
      </w:pPr>
    </w:p>
    <w:p w14:paraId="46C06CE2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spacing w:before="1"/>
        <w:ind w:right="109"/>
        <w:jc w:val="both"/>
        <w:rPr>
          <w:sz w:val="24"/>
        </w:rPr>
      </w:pPr>
      <w:r>
        <w:rPr>
          <w:sz w:val="24"/>
        </w:rPr>
        <w:t xml:space="preserve">Cena za </w:t>
      </w:r>
      <w:proofErr w:type="spellStart"/>
      <w:r>
        <w:rPr>
          <w:sz w:val="24"/>
        </w:rPr>
        <w:t>sprzedawany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każdorazowo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ofercie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>.</w:t>
      </w:r>
    </w:p>
    <w:p w14:paraId="5F1DFEF4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Ostateczną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oparciu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uzgodnienia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obowiązujące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dniu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potwierdzenia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>.</w:t>
      </w:r>
    </w:p>
    <w:p w14:paraId="1CCAC337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wskazana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walucie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złote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polskie</w:t>
      </w:r>
      <w:proofErr w:type="spellEnd"/>
      <w:r>
        <w:rPr>
          <w:sz w:val="24"/>
        </w:rPr>
        <w:t xml:space="preserve">, to </w:t>
      </w:r>
      <w:proofErr w:type="spellStart"/>
      <w:r>
        <w:rPr>
          <w:sz w:val="24"/>
        </w:rPr>
        <w:t>przyjmuje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ustaliły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cenę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złotych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przeliczając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ją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złote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według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waluty</w:t>
      </w:r>
      <w:proofErr w:type="spellEnd"/>
      <w:r>
        <w:rPr>
          <w:sz w:val="24"/>
        </w:rPr>
        <w:t xml:space="preserve"> w Raiffeisen Bank </w:t>
      </w:r>
      <w:proofErr w:type="spellStart"/>
      <w:r>
        <w:rPr>
          <w:sz w:val="24"/>
        </w:rPr>
        <w:t>Polska</w:t>
      </w:r>
      <w:proofErr w:type="spellEnd"/>
      <w:r>
        <w:rPr>
          <w:sz w:val="24"/>
        </w:rPr>
        <w:t xml:space="preserve"> S.A. na </w:t>
      </w:r>
      <w:proofErr w:type="spellStart"/>
      <w:r>
        <w:rPr>
          <w:sz w:val="24"/>
        </w:rPr>
        <w:t>dzień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wystawienia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14:paraId="29AFD007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podawane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netto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powiększone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zostaną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podatek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towarów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usług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obowiązujących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stawek</w:t>
      </w:r>
      <w:proofErr w:type="spellEnd"/>
      <w:r>
        <w:rPr>
          <w:sz w:val="24"/>
        </w:rPr>
        <w:t>.</w:t>
      </w:r>
    </w:p>
    <w:p w14:paraId="58CC551D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zapłacić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cenę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wskazanym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wystawionej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fakturze</w:t>
      </w:r>
      <w:proofErr w:type="spellEnd"/>
      <w:r>
        <w:rPr>
          <w:sz w:val="24"/>
        </w:rPr>
        <w:t xml:space="preserve"> VAT. </w:t>
      </w:r>
      <w:proofErr w:type="spellStart"/>
      <w:r>
        <w:rPr>
          <w:sz w:val="24"/>
        </w:rPr>
        <w:t>Płatność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uważa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dokonaną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chwili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wpływu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środków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rachunek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bankowy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>.</w:t>
      </w:r>
    </w:p>
    <w:p w14:paraId="31EA18B2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1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przyznał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kredyt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kupiecki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płatność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odroczonym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terminem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on go </w:t>
      </w:r>
      <w:proofErr w:type="spellStart"/>
      <w:r>
        <w:rPr>
          <w:sz w:val="24"/>
        </w:rPr>
        <w:t>ograniczyć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cofnąć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każdym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czasie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Uprawnienie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wierzytelności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już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powstałych</w:t>
      </w:r>
      <w:proofErr w:type="spellEnd"/>
      <w:r>
        <w:rPr>
          <w:sz w:val="24"/>
        </w:rPr>
        <w:t>.</w:t>
      </w:r>
    </w:p>
    <w:p w14:paraId="7CC2325C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05"/>
        <w:jc w:val="both"/>
        <w:rPr>
          <w:sz w:val="24"/>
        </w:rPr>
      </w:pPr>
      <w:proofErr w:type="spellStart"/>
      <w:r>
        <w:rPr>
          <w:sz w:val="24"/>
        </w:rPr>
        <w:t>Wszelkie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koszty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mogące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wyniknąć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trakcie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np. </w:t>
      </w:r>
      <w:proofErr w:type="spellStart"/>
      <w:r>
        <w:rPr>
          <w:sz w:val="24"/>
        </w:rPr>
        <w:t>cięcie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foliowanie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przeładunek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inne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opłaty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obciążają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ustaliły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inaczej</w:t>
      </w:r>
      <w:proofErr w:type="spellEnd"/>
      <w:r>
        <w:rPr>
          <w:sz w:val="24"/>
        </w:rPr>
        <w:t>.</w:t>
      </w:r>
    </w:p>
    <w:p w14:paraId="4113017C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09"/>
        <w:jc w:val="both"/>
        <w:rPr>
          <w:sz w:val="24"/>
        </w:rPr>
      </w:pPr>
      <w:proofErr w:type="spellStart"/>
      <w:r>
        <w:rPr>
          <w:sz w:val="24"/>
        </w:rPr>
        <w:t>Koszty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dostawy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usług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indywidualnie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podczas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składania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ustaleń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oznaczać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będzie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odbiór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następuje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siedzibie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>.</w:t>
      </w:r>
    </w:p>
    <w:p w14:paraId="112CDAE0" w14:textId="77777777" w:rsidR="00E960FA" w:rsidRDefault="00E960FA">
      <w:pPr>
        <w:pStyle w:val="Tekstpodstawowy"/>
        <w:spacing w:before="5"/>
        <w:ind w:left="0" w:firstLine="0"/>
        <w:jc w:val="left"/>
        <w:rPr>
          <w:sz w:val="20"/>
        </w:rPr>
      </w:pPr>
    </w:p>
    <w:p w14:paraId="00D57B47" w14:textId="77777777" w:rsidR="00E960FA" w:rsidRDefault="0012208E">
      <w:pPr>
        <w:pStyle w:val="Nagwek1"/>
        <w:numPr>
          <w:ilvl w:val="0"/>
          <w:numId w:val="2"/>
        </w:numPr>
        <w:tabs>
          <w:tab w:val="left" w:pos="409"/>
        </w:tabs>
        <w:ind w:left="408" w:hanging="292"/>
        <w:jc w:val="left"/>
      </w:pPr>
      <w:proofErr w:type="spellStart"/>
      <w:r>
        <w:rPr>
          <w:color w:val="323232"/>
        </w:rPr>
        <w:t>Dostawa</w:t>
      </w:r>
      <w:proofErr w:type="spellEnd"/>
      <w:r>
        <w:rPr>
          <w:color w:val="323232"/>
        </w:rPr>
        <w:t xml:space="preserve">, </w:t>
      </w:r>
      <w:proofErr w:type="spellStart"/>
      <w:r>
        <w:rPr>
          <w:color w:val="323232"/>
        </w:rPr>
        <w:t>termin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dostawy</w:t>
      </w:r>
      <w:proofErr w:type="spellEnd"/>
    </w:p>
    <w:p w14:paraId="18E6F33D" w14:textId="77777777" w:rsidR="00E960FA" w:rsidRDefault="00E960FA">
      <w:pPr>
        <w:pStyle w:val="Tekstpodstawowy"/>
        <w:spacing w:before="7"/>
        <w:ind w:left="0" w:firstLine="0"/>
        <w:jc w:val="left"/>
        <w:rPr>
          <w:b/>
          <w:sz w:val="23"/>
        </w:rPr>
      </w:pPr>
    </w:p>
    <w:p w14:paraId="6F0E3796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rPr>
          <w:sz w:val="24"/>
        </w:rPr>
      </w:pP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związany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potwierdzonym</w:t>
      </w:r>
      <w:proofErr w:type="spellEnd"/>
      <w:r>
        <w:rPr>
          <w:sz w:val="24"/>
        </w:rPr>
        <w:t xml:space="preserve"> na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piśmie</w:t>
      </w:r>
      <w:proofErr w:type="spellEnd"/>
      <w:r>
        <w:rPr>
          <w:sz w:val="24"/>
        </w:rPr>
        <w:t>.</w:t>
      </w:r>
    </w:p>
    <w:p w14:paraId="0F776553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Niedotrzymanie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uprawnia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dochodzenia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przysługujących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ustawowo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jedynie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wtedy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uzgodnionego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Kupującym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wezwania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zrealizuje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dostawy</w:t>
      </w:r>
      <w:proofErr w:type="spellEnd"/>
      <w:r>
        <w:rPr>
          <w:sz w:val="24"/>
        </w:rPr>
        <w:t>.</w:t>
      </w:r>
    </w:p>
    <w:p w14:paraId="7276EBB4" w14:textId="77777777" w:rsidR="00E960FA" w:rsidRDefault="00E960FA">
      <w:pPr>
        <w:jc w:val="both"/>
        <w:rPr>
          <w:sz w:val="24"/>
        </w:rPr>
        <w:sectPr w:rsidR="00E960FA">
          <w:pgSz w:w="11900" w:h="16840"/>
          <w:pgMar w:top="1600" w:right="1300" w:bottom="980" w:left="1300" w:header="0" w:footer="783" w:gutter="0"/>
          <w:cols w:space="708"/>
        </w:sectPr>
      </w:pPr>
    </w:p>
    <w:p w14:paraId="573D4E54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spacing w:before="68"/>
        <w:ind w:right="112"/>
        <w:jc w:val="both"/>
        <w:rPr>
          <w:sz w:val="24"/>
        </w:rPr>
      </w:pPr>
      <w:proofErr w:type="spellStart"/>
      <w:r>
        <w:rPr>
          <w:sz w:val="24"/>
        </w:rPr>
        <w:lastRenderedPageBreak/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przedłużeniu</w:t>
      </w:r>
      <w:proofErr w:type="spellEnd"/>
      <w:r>
        <w:rPr>
          <w:sz w:val="24"/>
        </w:rPr>
        <w:t xml:space="preserve"> o czas </w:t>
      </w:r>
      <w:proofErr w:type="spellStart"/>
      <w:r>
        <w:rPr>
          <w:sz w:val="24"/>
        </w:rPr>
        <w:t>trwania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przeszkody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zaistniałej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skutek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okoliczności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niezależnych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, np. </w:t>
      </w:r>
      <w:proofErr w:type="spellStart"/>
      <w:r>
        <w:rPr>
          <w:sz w:val="24"/>
        </w:rPr>
        <w:t>nieterminowa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dostawców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zakłócenia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wynikających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przyczyn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zewnętrznych</w:t>
      </w:r>
      <w:proofErr w:type="spellEnd"/>
      <w:r>
        <w:rPr>
          <w:sz w:val="24"/>
        </w:rPr>
        <w:t xml:space="preserve">, a w </w:t>
      </w:r>
      <w:proofErr w:type="spellStart"/>
      <w:r>
        <w:rPr>
          <w:sz w:val="24"/>
        </w:rPr>
        <w:t>szczególności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siły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wyższej</w:t>
      </w:r>
      <w:proofErr w:type="spellEnd"/>
      <w:r>
        <w:rPr>
          <w:sz w:val="24"/>
        </w:rPr>
        <w:t>.</w:t>
      </w:r>
    </w:p>
    <w:p w14:paraId="65F2C2C2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06"/>
        <w:jc w:val="both"/>
        <w:rPr>
          <w:sz w:val="24"/>
        </w:rPr>
      </w:pP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zobowiązany</w:t>
      </w:r>
      <w:proofErr w:type="spellEnd"/>
      <w:r>
        <w:rPr>
          <w:sz w:val="24"/>
        </w:rPr>
        <w:t xml:space="preserve"> jest do </w:t>
      </w:r>
      <w:proofErr w:type="spellStart"/>
      <w:r>
        <w:rPr>
          <w:sz w:val="24"/>
        </w:rPr>
        <w:t>odbioru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niezwłocznie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powiadomieniu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dostępności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magazynach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.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zaistnienia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zwłoki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odbiorze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obciążony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kosztami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magazynowania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zastrzeżeniem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przysługujących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praw</w:t>
      </w:r>
      <w:proofErr w:type="spellEnd"/>
      <w:r>
        <w:rPr>
          <w:sz w:val="24"/>
        </w:rPr>
        <w:t>.</w:t>
      </w:r>
    </w:p>
    <w:p w14:paraId="2D2668F1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09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decyduje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korzystać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dostawy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realizowanej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transportu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zapewnia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niezbędne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umożliwiające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rozładunek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samochodu</w:t>
      </w:r>
      <w:proofErr w:type="spellEnd"/>
      <w:r>
        <w:rPr>
          <w:sz w:val="24"/>
        </w:rPr>
        <w:t>.</w:t>
      </w:r>
    </w:p>
    <w:p w14:paraId="35949E92" w14:textId="77777777" w:rsidR="00E960FA" w:rsidRDefault="00E960FA">
      <w:pPr>
        <w:pStyle w:val="Tekstpodstawowy"/>
        <w:spacing w:before="4"/>
        <w:ind w:left="0" w:firstLine="0"/>
        <w:jc w:val="left"/>
      </w:pPr>
    </w:p>
    <w:p w14:paraId="219429A6" w14:textId="77777777" w:rsidR="00E960FA" w:rsidRDefault="0012208E">
      <w:pPr>
        <w:pStyle w:val="Nagwek1"/>
        <w:numPr>
          <w:ilvl w:val="0"/>
          <w:numId w:val="2"/>
        </w:numPr>
        <w:tabs>
          <w:tab w:val="left" w:pos="637"/>
        </w:tabs>
        <w:spacing w:before="1"/>
        <w:ind w:left="636" w:hanging="386"/>
        <w:jc w:val="left"/>
      </w:pPr>
      <w:proofErr w:type="spellStart"/>
      <w:r>
        <w:rPr>
          <w:color w:val="323232"/>
        </w:rPr>
        <w:t>Realizacja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dostawy</w:t>
      </w:r>
      <w:proofErr w:type="spellEnd"/>
      <w:r>
        <w:rPr>
          <w:color w:val="323232"/>
        </w:rPr>
        <w:t xml:space="preserve"> i </w:t>
      </w:r>
      <w:proofErr w:type="spellStart"/>
      <w:r>
        <w:rPr>
          <w:color w:val="323232"/>
        </w:rPr>
        <w:t>przejście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ryzyka</w:t>
      </w:r>
      <w:proofErr w:type="spellEnd"/>
    </w:p>
    <w:p w14:paraId="4C0E7A47" w14:textId="77777777" w:rsidR="00E960FA" w:rsidRDefault="00E960FA">
      <w:pPr>
        <w:pStyle w:val="Tekstpodstawowy"/>
        <w:spacing w:before="6"/>
        <w:ind w:left="0" w:firstLine="0"/>
        <w:jc w:val="left"/>
        <w:rPr>
          <w:b/>
          <w:sz w:val="23"/>
        </w:rPr>
      </w:pPr>
    </w:p>
    <w:p w14:paraId="6275DFBD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1"/>
        <w:jc w:val="both"/>
        <w:rPr>
          <w:sz w:val="24"/>
        </w:rPr>
      </w:pPr>
      <w:r>
        <w:rPr>
          <w:sz w:val="24"/>
        </w:rPr>
        <w:t xml:space="preserve">Od </w:t>
      </w:r>
      <w:proofErr w:type="spellStart"/>
      <w:r>
        <w:rPr>
          <w:sz w:val="24"/>
        </w:rPr>
        <w:t>momentu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przewoźnikowi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Sprzedawcę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przestaje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obciążać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ryzyko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uszkodzenia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utraty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>.</w:t>
      </w:r>
    </w:p>
    <w:p w14:paraId="5F154FB7" w14:textId="77777777" w:rsidR="00E960FA" w:rsidRDefault="00E960FA">
      <w:pPr>
        <w:pStyle w:val="Tekstpodstawowy"/>
        <w:spacing w:before="5"/>
        <w:ind w:left="0" w:firstLine="0"/>
        <w:jc w:val="left"/>
      </w:pPr>
    </w:p>
    <w:p w14:paraId="4FA01B90" w14:textId="77777777" w:rsidR="00E960FA" w:rsidRDefault="0012208E">
      <w:pPr>
        <w:pStyle w:val="Nagwek1"/>
        <w:numPr>
          <w:ilvl w:val="0"/>
          <w:numId w:val="2"/>
        </w:numPr>
        <w:tabs>
          <w:tab w:val="left" w:pos="731"/>
        </w:tabs>
        <w:ind w:left="730" w:hanging="480"/>
        <w:jc w:val="left"/>
      </w:pPr>
      <w:proofErr w:type="spellStart"/>
      <w:r>
        <w:rPr>
          <w:color w:val="323232"/>
        </w:rPr>
        <w:t>Odpowiedzialność</w:t>
      </w:r>
      <w:proofErr w:type="spellEnd"/>
      <w:r>
        <w:rPr>
          <w:color w:val="323232"/>
        </w:rPr>
        <w:t xml:space="preserve"> za</w:t>
      </w:r>
      <w:r>
        <w:rPr>
          <w:color w:val="323232"/>
          <w:spacing w:val="-4"/>
        </w:rPr>
        <w:t xml:space="preserve"> </w:t>
      </w:r>
      <w:proofErr w:type="spellStart"/>
      <w:r>
        <w:rPr>
          <w:color w:val="323232"/>
        </w:rPr>
        <w:t>wady</w:t>
      </w:r>
      <w:proofErr w:type="spellEnd"/>
    </w:p>
    <w:p w14:paraId="4C4E355C" w14:textId="77777777" w:rsidR="00E960FA" w:rsidRDefault="00E960FA">
      <w:pPr>
        <w:pStyle w:val="Tekstpodstawowy"/>
        <w:spacing w:before="7"/>
        <w:ind w:left="0" w:firstLine="0"/>
        <w:jc w:val="left"/>
        <w:rPr>
          <w:b/>
          <w:sz w:val="23"/>
        </w:rPr>
      </w:pPr>
    </w:p>
    <w:p w14:paraId="6F61E04A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zobowiązany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zbadania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dostarczonego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pod </w:t>
      </w:r>
      <w:proofErr w:type="spellStart"/>
      <w:r>
        <w:rPr>
          <w:sz w:val="24"/>
        </w:rPr>
        <w:t>względem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ilościowym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jakościowym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wad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ukrytych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natychmiast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otrzymaniu</w:t>
      </w:r>
      <w:proofErr w:type="spellEnd"/>
      <w:r>
        <w:rPr>
          <w:sz w:val="24"/>
        </w:rPr>
        <w:t>.</w:t>
      </w:r>
    </w:p>
    <w:p w14:paraId="18E656DE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Zgłaszanie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ilościowych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nastąpić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formie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niezwłocznie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odbiorze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później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ciągu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odbioru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pod </w:t>
      </w:r>
      <w:proofErr w:type="spellStart"/>
      <w:r>
        <w:rPr>
          <w:sz w:val="24"/>
        </w:rPr>
        <w:t>rygorem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utraty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uprawnień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tytułu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odstępstw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ilościowych</w:t>
      </w:r>
      <w:proofErr w:type="spellEnd"/>
      <w:r>
        <w:rPr>
          <w:sz w:val="24"/>
        </w:rPr>
        <w:t>.</w:t>
      </w:r>
    </w:p>
    <w:p w14:paraId="579F5059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09"/>
        <w:jc w:val="both"/>
        <w:rPr>
          <w:sz w:val="24"/>
        </w:rPr>
      </w:pPr>
      <w:proofErr w:type="spellStart"/>
      <w:r>
        <w:rPr>
          <w:sz w:val="24"/>
        </w:rPr>
        <w:t>Zgłaszanie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jakościowych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nastąpić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formie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niezwłocznie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wykryciu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później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ciągu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wykrycia</w:t>
      </w:r>
      <w:proofErr w:type="spellEnd"/>
      <w:r>
        <w:rPr>
          <w:sz w:val="24"/>
        </w:rPr>
        <w:t xml:space="preserve">, pod </w:t>
      </w:r>
      <w:proofErr w:type="spellStart"/>
      <w:r>
        <w:rPr>
          <w:sz w:val="24"/>
        </w:rPr>
        <w:t>rygorem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utraty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uprawnień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tytułu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odstępstw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jakościowych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Reklamacje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jakościowe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zgłaszać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później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ciągu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wydania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załączając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próbkę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reklamowanego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rozpatrywaniu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reklamacji</w:t>
      </w:r>
      <w:proofErr w:type="spellEnd"/>
      <w:r>
        <w:rPr>
          <w:sz w:val="24"/>
        </w:rPr>
        <w:t xml:space="preserve"> ich </w:t>
      </w:r>
      <w:proofErr w:type="spellStart"/>
      <w:r>
        <w:rPr>
          <w:sz w:val="24"/>
        </w:rPr>
        <w:t>zasadność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uwzględnieniem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obowiązujących</w:t>
      </w:r>
      <w:proofErr w:type="spellEnd"/>
      <w:r>
        <w:rPr>
          <w:sz w:val="24"/>
        </w:rPr>
        <w:t xml:space="preserve"> norm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technicznych</w:t>
      </w:r>
      <w:proofErr w:type="spellEnd"/>
      <w:r>
        <w:rPr>
          <w:sz w:val="24"/>
        </w:rPr>
        <w:t>.</w:t>
      </w:r>
    </w:p>
    <w:p w14:paraId="15DA4E09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2"/>
        <w:jc w:val="both"/>
        <w:rPr>
          <w:sz w:val="24"/>
        </w:rPr>
      </w:pPr>
      <w:proofErr w:type="spellStart"/>
      <w:r>
        <w:rPr>
          <w:sz w:val="24"/>
        </w:rPr>
        <w:t>Kwestionowany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dostępny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formie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nieprzetworzonej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pełni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identyfikowalnej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dyspozycji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cały</w:t>
      </w:r>
      <w:proofErr w:type="spellEnd"/>
      <w:r>
        <w:rPr>
          <w:sz w:val="24"/>
        </w:rPr>
        <w:t xml:space="preserve"> czas </w:t>
      </w:r>
      <w:proofErr w:type="spellStart"/>
      <w:r>
        <w:rPr>
          <w:sz w:val="24"/>
        </w:rPr>
        <w:t>trwania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reklamacji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chwili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zakończenia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przesłania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Sprzedawcę</w:t>
      </w:r>
      <w:proofErr w:type="spellEnd"/>
      <w:r>
        <w:rPr>
          <w:sz w:val="24"/>
        </w:rPr>
        <w:t>.</w:t>
      </w:r>
    </w:p>
    <w:p w14:paraId="72F071BA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0"/>
        <w:jc w:val="both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czasu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ostatecznego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rozpatrzenia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obowiązany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przechowywać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reklamowany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uniemożliwiający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ewentualne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uszkodzenie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powstanie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braków</w:t>
      </w:r>
      <w:proofErr w:type="spellEnd"/>
      <w:r>
        <w:rPr>
          <w:sz w:val="24"/>
        </w:rPr>
        <w:t>.</w:t>
      </w:r>
    </w:p>
    <w:p w14:paraId="0D47F132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07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reklamacji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uzasadnioną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według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wymienić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nowy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wolny</w:t>
      </w:r>
      <w:proofErr w:type="spellEnd"/>
      <w:r>
        <w:rPr>
          <w:sz w:val="24"/>
        </w:rPr>
        <w:t xml:space="preserve"> od wad,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usunąć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niemożliwa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wiąże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poniesieniem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wydatków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wówczas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odmówić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wymiany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zwrócić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stosowną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Załatwienie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reklamacji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wyżej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opisany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wyklucza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możliwość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domagania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dalszych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rekompensat</w:t>
      </w:r>
      <w:proofErr w:type="spellEnd"/>
      <w:r>
        <w:rPr>
          <w:sz w:val="24"/>
        </w:rPr>
        <w:t>.</w:t>
      </w:r>
    </w:p>
    <w:p w14:paraId="1BFCD220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spacing w:before="1"/>
        <w:ind w:right="106"/>
        <w:jc w:val="both"/>
        <w:rPr>
          <w:sz w:val="24"/>
        </w:rPr>
      </w:pP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spośród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dostarczonych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sprzedanych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tylko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wadliwe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odłączyć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wolnych</w:t>
      </w:r>
      <w:proofErr w:type="spellEnd"/>
      <w:r>
        <w:rPr>
          <w:sz w:val="24"/>
        </w:rPr>
        <w:t xml:space="preserve"> od wad, </w:t>
      </w:r>
      <w:proofErr w:type="spellStart"/>
      <w:r>
        <w:rPr>
          <w:sz w:val="24"/>
        </w:rPr>
        <w:t>uprawnienie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rezygnacji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odstąpienia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ogranicza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wyłącznie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towarów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wadliwych</w:t>
      </w:r>
      <w:proofErr w:type="spellEnd"/>
      <w:r>
        <w:rPr>
          <w:sz w:val="24"/>
        </w:rPr>
        <w:t>.</w:t>
      </w:r>
    </w:p>
    <w:p w14:paraId="4D15C9A0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ujawnionych</w:t>
      </w:r>
      <w:proofErr w:type="spellEnd"/>
      <w:r>
        <w:rPr>
          <w:sz w:val="24"/>
        </w:rPr>
        <w:t xml:space="preserve"> wad </w:t>
      </w:r>
      <w:proofErr w:type="spellStart"/>
      <w:r>
        <w:rPr>
          <w:sz w:val="24"/>
        </w:rPr>
        <w:t>akceptuje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spełniający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zażądać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odpowiedniego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obniżenia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>.</w:t>
      </w:r>
    </w:p>
    <w:p w14:paraId="57E4DB36" w14:textId="77777777" w:rsidR="00E960FA" w:rsidRDefault="00E960FA">
      <w:pPr>
        <w:jc w:val="both"/>
        <w:rPr>
          <w:sz w:val="24"/>
        </w:rPr>
        <w:sectPr w:rsidR="00E960FA">
          <w:pgSz w:w="11900" w:h="16840"/>
          <w:pgMar w:top="1340" w:right="1300" w:bottom="980" w:left="1300" w:header="0" w:footer="783" w:gutter="0"/>
          <w:cols w:space="708"/>
        </w:sectPr>
      </w:pPr>
    </w:p>
    <w:p w14:paraId="01BA8987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spacing w:before="68"/>
        <w:ind w:right="108"/>
        <w:jc w:val="both"/>
        <w:rPr>
          <w:sz w:val="24"/>
        </w:rPr>
      </w:pPr>
      <w:proofErr w:type="spellStart"/>
      <w:r>
        <w:rPr>
          <w:sz w:val="24"/>
        </w:rPr>
        <w:lastRenderedPageBreak/>
        <w:t>Odpowiedzialność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wyłączona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nieprzestrzegania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instrukcji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dalszego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przetwarzania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towarów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montażu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obsługi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użycie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niezgodnie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przeznaczeniem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właściwościami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technicznymi</w:t>
      </w:r>
      <w:proofErr w:type="spellEnd"/>
      <w:r>
        <w:rPr>
          <w:sz w:val="24"/>
        </w:rPr>
        <w:t>.</w:t>
      </w:r>
    </w:p>
    <w:p w14:paraId="6C3AAA86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08"/>
        <w:jc w:val="both"/>
        <w:rPr>
          <w:sz w:val="24"/>
        </w:rPr>
      </w:pP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powodu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fizycznej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odstępuje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dotyczącej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żąda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dostarczenia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wolnego</w:t>
      </w:r>
      <w:proofErr w:type="spellEnd"/>
      <w:r>
        <w:rPr>
          <w:sz w:val="24"/>
        </w:rPr>
        <w:t xml:space="preserve"> od wad </w:t>
      </w:r>
      <w:proofErr w:type="spellStart"/>
      <w:r>
        <w:rPr>
          <w:sz w:val="24"/>
        </w:rPr>
        <w:t>zamiast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wadliwego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odesłać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towaru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uprzedniej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>.</w:t>
      </w:r>
    </w:p>
    <w:p w14:paraId="21ACD683" w14:textId="77777777" w:rsidR="00E960FA" w:rsidRDefault="0012208E">
      <w:pPr>
        <w:pStyle w:val="Akapitzlist"/>
        <w:numPr>
          <w:ilvl w:val="1"/>
          <w:numId w:val="2"/>
        </w:numPr>
        <w:tabs>
          <w:tab w:val="left" w:pos="837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Odpowiedzialność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szkody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powstałe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wyniku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istnienia</w:t>
      </w:r>
      <w:proofErr w:type="spellEnd"/>
      <w:r>
        <w:rPr>
          <w:sz w:val="24"/>
        </w:rPr>
        <w:t xml:space="preserve"> wad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zrealizowania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uprawnień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tytułu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rękojmi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wyłączona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art. 558 </w:t>
      </w:r>
      <w:proofErr w:type="spellStart"/>
      <w:r>
        <w:rPr>
          <w:sz w:val="24"/>
        </w:rPr>
        <w:t>Kodeksu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cywilnego</w:t>
      </w:r>
      <w:proofErr w:type="spellEnd"/>
      <w:r>
        <w:rPr>
          <w:sz w:val="24"/>
        </w:rPr>
        <w:t>.</w:t>
      </w:r>
    </w:p>
    <w:p w14:paraId="7EAE257F" w14:textId="77777777" w:rsidR="00E960FA" w:rsidRDefault="0012208E">
      <w:pPr>
        <w:pStyle w:val="Akapitzlist"/>
        <w:numPr>
          <w:ilvl w:val="1"/>
          <w:numId w:val="2"/>
        </w:numPr>
        <w:tabs>
          <w:tab w:val="left" w:pos="837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Zgłoszenie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ilościowej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jakościowej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uprawnia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wstrzymania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płatności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zrealizowane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dostawy</w:t>
      </w:r>
      <w:proofErr w:type="spellEnd"/>
      <w:r>
        <w:rPr>
          <w:sz w:val="24"/>
        </w:rPr>
        <w:t>.</w:t>
      </w:r>
    </w:p>
    <w:p w14:paraId="79E16508" w14:textId="77777777" w:rsidR="00E960FA" w:rsidRDefault="0012208E">
      <w:pPr>
        <w:pStyle w:val="Akapitzlist"/>
        <w:numPr>
          <w:ilvl w:val="1"/>
          <w:numId w:val="2"/>
        </w:numPr>
        <w:tabs>
          <w:tab w:val="left" w:pos="837"/>
        </w:tabs>
        <w:ind w:right="109"/>
        <w:jc w:val="both"/>
        <w:rPr>
          <w:sz w:val="24"/>
        </w:rPr>
      </w:pPr>
      <w:proofErr w:type="spellStart"/>
      <w:r>
        <w:rPr>
          <w:sz w:val="24"/>
        </w:rPr>
        <w:t>Akceptując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niniejszą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procedurę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reklamacyjną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rezygnuje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korzystania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potrącenia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swoich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roszczeń</w:t>
      </w:r>
      <w:proofErr w:type="spellEnd"/>
      <w:r>
        <w:rPr>
          <w:sz w:val="24"/>
        </w:rPr>
        <w:t>.</w:t>
      </w:r>
    </w:p>
    <w:p w14:paraId="56EDD353" w14:textId="77777777" w:rsidR="00E960FA" w:rsidRDefault="0012208E">
      <w:pPr>
        <w:pStyle w:val="Akapitzlist"/>
        <w:numPr>
          <w:ilvl w:val="1"/>
          <w:numId w:val="2"/>
        </w:numPr>
        <w:tabs>
          <w:tab w:val="left" w:pos="837"/>
        </w:tabs>
        <w:ind w:right="107"/>
        <w:jc w:val="both"/>
        <w:rPr>
          <w:sz w:val="24"/>
        </w:rPr>
      </w:pPr>
      <w:proofErr w:type="spellStart"/>
      <w:r>
        <w:rPr>
          <w:sz w:val="24"/>
        </w:rPr>
        <w:t>Warunkiem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przyjęcia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zwrotów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towarów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zakwestionowane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uznane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Sprzedawcę</w:t>
      </w:r>
      <w:proofErr w:type="spellEnd"/>
      <w:r>
        <w:rPr>
          <w:sz w:val="24"/>
        </w:rPr>
        <w:t xml:space="preserve"> jest to, by </w:t>
      </w:r>
      <w:proofErr w:type="spellStart"/>
      <w:r>
        <w:rPr>
          <w:sz w:val="24"/>
        </w:rPr>
        <w:t>były</w:t>
      </w:r>
      <w:proofErr w:type="spellEnd"/>
      <w:r>
        <w:rPr>
          <w:sz w:val="24"/>
        </w:rPr>
        <w:t xml:space="preserve"> one </w:t>
      </w:r>
      <w:proofErr w:type="spellStart"/>
      <w:r>
        <w:rPr>
          <w:sz w:val="24"/>
        </w:rPr>
        <w:t>nieuszkodzone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nieprzetworzone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procesach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produkcyjnych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identyfikowalne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 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parametrów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zawartych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atestach</w:t>
      </w:r>
      <w:proofErr w:type="spellEnd"/>
      <w:r>
        <w:rPr>
          <w:sz w:val="24"/>
        </w:rPr>
        <w:t xml:space="preserve">. 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pakowanych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fabrycznie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muszą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oryginalnych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nieuszkodzonych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opakowaniach</w:t>
      </w:r>
      <w:proofErr w:type="spellEnd"/>
      <w:r>
        <w:rPr>
          <w:sz w:val="24"/>
        </w:rPr>
        <w:t>.</w:t>
      </w:r>
    </w:p>
    <w:p w14:paraId="7CD0F4E2" w14:textId="77777777" w:rsidR="00E960FA" w:rsidRDefault="0012208E">
      <w:pPr>
        <w:pStyle w:val="Akapitzlist"/>
        <w:numPr>
          <w:ilvl w:val="1"/>
          <w:numId w:val="2"/>
        </w:numPr>
        <w:tabs>
          <w:tab w:val="left" w:pos="837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Zwrot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nastąpić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jedynie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uprzednim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powiadomieniu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uzyskaniu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pisemnej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akceptacji</w:t>
      </w:r>
      <w:proofErr w:type="spellEnd"/>
      <w:r>
        <w:rPr>
          <w:sz w:val="24"/>
        </w:rPr>
        <w:t>.</w:t>
      </w:r>
    </w:p>
    <w:p w14:paraId="774F8B38" w14:textId="77777777" w:rsidR="00E960FA" w:rsidRDefault="00E960FA">
      <w:pPr>
        <w:pStyle w:val="Tekstpodstawowy"/>
        <w:spacing w:before="5"/>
        <w:ind w:left="0" w:firstLine="0"/>
        <w:jc w:val="left"/>
      </w:pPr>
    </w:p>
    <w:p w14:paraId="419CCCC5" w14:textId="77777777" w:rsidR="00E960FA" w:rsidRDefault="0012208E">
      <w:pPr>
        <w:pStyle w:val="Nagwek1"/>
        <w:numPr>
          <w:ilvl w:val="0"/>
          <w:numId w:val="2"/>
        </w:numPr>
        <w:tabs>
          <w:tab w:val="left" w:pos="690"/>
        </w:tabs>
        <w:ind w:hanging="573"/>
        <w:jc w:val="left"/>
      </w:pPr>
      <w:proofErr w:type="spellStart"/>
      <w:r>
        <w:rPr>
          <w:color w:val="323232"/>
        </w:rPr>
        <w:t>Warunki</w:t>
      </w:r>
      <w:proofErr w:type="spellEnd"/>
      <w:r>
        <w:rPr>
          <w:color w:val="323232"/>
          <w:spacing w:val="-1"/>
        </w:rPr>
        <w:t xml:space="preserve"> </w:t>
      </w:r>
      <w:proofErr w:type="spellStart"/>
      <w:r>
        <w:rPr>
          <w:color w:val="323232"/>
        </w:rPr>
        <w:t>płatności</w:t>
      </w:r>
      <w:proofErr w:type="spellEnd"/>
    </w:p>
    <w:p w14:paraId="37686AEC" w14:textId="77777777" w:rsidR="00E960FA" w:rsidRDefault="00E960FA">
      <w:pPr>
        <w:pStyle w:val="Tekstpodstawowy"/>
        <w:spacing w:before="7"/>
        <w:ind w:left="0" w:firstLine="0"/>
        <w:jc w:val="left"/>
        <w:rPr>
          <w:b/>
          <w:sz w:val="23"/>
        </w:rPr>
      </w:pPr>
    </w:p>
    <w:p w14:paraId="3BDAB2E8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Zapłata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otrzymany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towar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nastąpić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formie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wskazanej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fakturze</w:t>
      </w:r>
      <w:proofErr w:type="spellEnd"/>
      <w:r>
        <w:rPr>
          <w:sz w:val="24"/>
        </w:rPr>
        <w:t>.</w:t>
      </w:r>
    </w:p>
    <w:p w14:paraId="500E3995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Datą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świadczenia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jest data </w:t>
      </w:r>
      <w:proofErr w:type="spellStart"/>
      <w:r>
        <w:rPr>
          <w:sz w:val="24"/>
        </w:rPr>
        <w:t>wpływu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należności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konto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>.</w:t>
      </w:r>
    </w:p>
    <w:p w14:paraId="4CC3F806" w14:textId="77777777" w:rsidR="00E960FA" w:rsidRDefault="0012208E">
      <w:pPr>
        <w:pStyle w:val="Akapitzlist"/>
        <w:numPr>
          <w:ilvl w:val="1"/>
          <w:numId w:val="2"/>
        </w:numPr>
        <w:tabs>
          <w:tab w:val="left" w:pos="837"/>
        </w:tabs>
        <w:ind w:right="109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opóźnienia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płatności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, bez </w:t>
      </w:r>
      <w:proofErr w:type="spellStart"/>
      <w:r>
        <w:rPr>
          <w:sz w:val="24"/>
        </w:rPr>
        <w:t>dodatkowych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wezwań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naliczyć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odsetki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opóźnienie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ustawowej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Odsetki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opóźnienie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następującego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dniu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którym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upłynął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płatności</w:t>
      </w:r>
      <w:proofErr w:type="spellEnd"/>
      <w:r>
        <w:rPr>
          <w:sz w:val="24"/>
        </w:rPr>
        <w:t>.</w:t>
      </w:r>
    </w:p>
    <w:p w14:paraId="150ED16E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uprawniony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dochodzenia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głównej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odsetek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opóźnienie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również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kosztów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sądowych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egzekucyjnych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zastępstwa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wszelkich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kosztów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związanych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windykacją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należności</w:t>
      </w:r>
      <w:proofErr w:type="spellEnd"/>
      <w:r>
        <w:rPr>
          <w:sz w:val="24"/>
        </w:rPr>
        <w:t>.</w:t>
      </w:r>
    </w:p>
    <w:p w14:paraId="748514DE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1"/>
        <w:jc w:val="both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wystąpienia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opóźnień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płatnościach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wstrzymać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dalsze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dostawy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Kupującemu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przysługują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żadne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roszczenia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wobec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szkody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powstałe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wskutek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skorzystania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Sprzedawcę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uprawnienia</w:t>
      </w:r>
      <w:proofErr w:type="spellEnd"/>
      <w:r>
        <w:rPr>
          <w:sz w:val="24"/>
        </w:rPr>
        <w:t>.</w:t>
      </w:r>
    </w:p>
    <w:p w14:paraId="307E736C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left="835" w:right="110" w:hanging="359"/>
        <w:jc w:val="both"/>
        <w:rPr>
          <w:sz w:val="24"/>
        </w:rPr>
      </w:pP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popadł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opóźnienie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płatnościami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należnymi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więcej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Sprzedawca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prawo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zaliczenia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jakiejkolwiek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zapłaty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dokonanej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Kupującego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tytułu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jakiejkolwiek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pierwszej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kolejności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poczet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najdawniej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wymagalnych</w:t>
      </w:r>
      <w:proofErr w:type="spellEnd"/>
      <w:r>
        <w:rPr>
          <w:sz w:val="24"/>
        </w:rPr>
        <w:t>.</w:t>
      </w:r>
    </w:p>
    <w:p w14:paraId="7E1EC9ED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07"/>
        <w:jc w:val="both"/>
        <w:rPr>
          <w:sz w:val="24"/>
        </w:rPr>
      </w:pPr>
      <w:proofErr w:type="spellStart"/>
      <w:r>
        <w:rPr>
          <w:sz w:val="24"/>
        </w:rPr>
        <w:t>Weksle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czeki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przyjmowane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wyłącznie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celach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zabezpieczenia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roszczeń</w:t>
      </w:r>
      <w:proofErr w:type="spellEnd"/>
      <w:r>
        <w:rPr>
          <w:sz w:val="24"/>
        </w:rPr>
        <w:t xml:space="preserve">, po </w:t>
      </w:r>
      <w:proofErr w:type="spellStart"/>
      <w:r>
        <w:rPr>
          <w:sz w:val="24"/>
        </w:rPr>
        <w:t>uprzednim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uzgodnieniu</w:t>
      </w:r>
      <w:proofErr w:type="spellEnd"/>
      <w:r>
        <w:rPr>
          <w:sz w:val="24"/>
        </w:rPr>
        <w:t xml:space="preserve"> ze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Sprzedawcą</w:t>
      </w:r>
      <w:proofErr w:type="spellEnd"/>
      <w:r>
        <w:rPr>
          <w:sz w:val="24"/>
        </w:rPr>
        <w:t>.</w:t>
      </w:r>
    </w:p>
    <w:p w14:paraId="7E35852D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05"/>
        <w:jc w:val="both"/>
        <w:rPr>
          <w:sz w:val="24"/>
        </w:rPr>
      </w:pPr>
      <w:proofErr w:type="spellStart"/>
      <w:r>
        <w:rPr>
          <w:sz w:val="24"/>
        </w:rPr>
        <w:t>Kupujący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zobowiązuje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niezwłocznego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pisemnego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zawiadomienia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  o </w:t>
      </w:r>
      <w:proofErr w:type="spellStart"/>
      <w:r>
        <w:rPr>
          <w:sz w:val="24"/>
        </w:rPr>
        <w:t>każdorazowej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swojej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siedziby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miejsca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zamieszkania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doręczeń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korespondencji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zawiadomienia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powoduje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doręczenia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dokonane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adresy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wskazane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zamówieniu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też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podpisanych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porozumieniach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handlowych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uważane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za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skuteczne</w:t>
      </w:r>
      <w:proofErr w:type="spellEnd"/>
      <w:r>
        <w:rPr>
          <w:sz w:val="24"/>
        </w:rPr>
        <w:t>.</w:t>
      </w:r>
    </w:p>
    <w:p w14:paraId="664307C1" w14:textId="77777777" w:rsidR="00E960FA" w:rsidRDefault="00E960FA">
      <w:pPr>
        <w:jc w:val="both"/>
        <w:rPr>
          <w:sz w:val="24"/>
        </w:rPr>
        <w:sectPr w:rsidR="00E960FA">
          <w:pgSz w:w="11900" w:h="16840"/>
          <w:pgMar w:top="1340" w:right="1300" w:bottom="980" w:left="1300" w:header="0" w:footer="783" w:gutter="0"/>
          <w:cols w:space="708"/>
        </w:sectPr>
      </w:pPr>
    </w:p>
    <w:p w14:paraId="348D736C" w14:textId="7C642217" w:rsidR="00E960FA" w:rsidRDefault="00E960FA" w:rsidP="004435C8">
      <w:pPr>
        <w:pStyle w:val="Nagwek1"/>
        <w:tabs>
          <w:tab w:val="left" w:pos="503"/>
        </w:tabs>
        <w:spacing w:before="72"/>
        <w:ind w:left="502" w:firstLine="0"/>
        <w:jc w:val="right"/>
      </w:pPr>
    </w:p>
    <w:p w14:paraId="3191B6D3" w14:textId="77777777" w:rsidR="00E960FA" w:rsidRDefault="00E960FA">
      <w:pPr>
        <w:pStyle w:val="Tekstpodstawowy"/>
        <w:spacing w:before="7"/>
        <w:ind w:left="0" w:firstLine="0"/>
        <w:jc w:val="left"/>
        <w:rPr>
          <w:b/>
          <w:sz w:val="23"/>
        </w:rPr>
      </w:pPr>
    </w:p>
    <w:p w14:paraId="44C88FA4" w14:textId="77777777" w:rsidR="00E960FA" w:rsidRDefault="0012208E">
      <w:pPr>
        <w:pStyle w:val="Nagwek1"/>
        <w:numPr>
          <w:ilvl w:val="0"/>
          <w:numId w:val="2"/>
        </w:numPr>
        <w:tabs>
          <w:tab w:val="left" w:pos="409"/>
        </w:tabs>
        <w:ind w:left="408" w:hanging="292"/>
        <w:jc w:val="left"/>
      </w:pPr>
      <w:proofErr w:type="spellStart"/>
      <w:r>
        <w:rPr>
          <w:color w:val="323232"/>
        </w:rPr>
        <w:t>Postanowienia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końcowe</w:t>
      </w:r>
      <w:proofErr w:type="spellEnd"/>
    </w:p>
    <w:p w14:paraId="5D3B4FDB" w14:textId="77777777" w:rsidR="00E960FA" w:rsidRDefault="00E960FA">
      <w:pPr>
        <w:pStyle w:val="Tekstpodstawowy"/>
        <w:spacing w:before="9"/>
        <w:ind w:left="0" w:firstLine="0"/>
        <w:jc w:val="left"/>
        <w:rPr>
          <w:b/>
          <w:sz w:val="15"/>
        </w:rPr>
      </w:pPr>
    </w:p>
    <w:p w14:paraId="47737720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spacing w:before="90"/>
        <w:ind w:right="109"/>
        <w:rPr>
          <w:sz w:val="24"/>
        </w:rPr>
      </w:pPr>
      <w:proofErr w:type="spellStart"/>
      <w:r>
        <w:rPr>
          <w:sz w:val="24"/>
        </w:rPr>
        <w:t>Sądem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właściwym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rozstrzygania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ewentualnych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sporów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sąd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powszechny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Toruniu</w:t>
      </w:r>
      <w:proofErr w:type="spellEnd"/>
      <w:r>
        <w:rPr>
          <w:sz w:val="24"/>
        </w:rPr>
        <w:t>.</w:t>
      </w:r>
    </w:p>
    <w:p w14:paraId="33ADD60D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0"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dopuszcza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wynikających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zawartej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umowy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stosunku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trzecich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pisemnej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sprzedawcy</w:t>
      </w:r>
      <w:proofErr w:type="spellEnd"/>
      <w:r>
        <w:rPr>
          <w:sz w:val="24"/>
        </w:rPr>
        <w:t xml:space="preserve">, pod </w:t>
      </w:r>
      <w:proofErr w:type="spellStart"/>
      <w:r>
        <w:rPr>
          <w:sz w:val="24"/>
        </w:rPr>
        <w:t>rygorem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nieważności</w:t>
      </w:r>
      <w:proofErr w:type="spellEnd"/>
      <w:r>
        <w:rPr>
          <w:sz w:val="24"/>
        </w:rPr>
        <w:t>.</w:t>
      </w:r>
    </w:p>
    <w:p w14:paraId="2EF978E1" w14:textId="77777777" w:rsidR="00E960FA" w:rsidRDefault="0012208E">
      <w:pPr>
        <w:pStyle w:val="Akapitzlist"/>
        <w:numPr>
          <w:ilvl w:val="1"/>
          <w:numId w:val="2"/>
        </w:numPr>
        <w:tabs>
          <w:tab w:val="left" w:pos="836"/>
        </w:tabs>
        <w:ind w:right="111"/>
        <w:rPr>
          <w:sz w:val="24"/>
        </w:rPr>
      </w:pPr>
      <w:r>
        <w:rPr>
          <w:sz w:val="24"/>
        </w:rPr>
        <w:t xml:space="preserve">W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nieważności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niektórych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postanowień</w:t>
      </w:r>
      <w:proofErr w:type="spellEnd"/>
      <w:r>
        <w:rPr>
          <w:sz w:val="24"/>
        </w:rPr>
        <w:t xml:space="preserve"> OWS </w:t>
      </w:r>
      <w:proofErr w:type="spellStart"/>
      <w:r>
        <w:rPr>
          <w:sz w:val="24"/>
        </w:rPr>
        <w:t>wskutek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wprowadzenia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odmiennych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ustawowych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pozostałe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postanowienia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tracą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swej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ważności</w:t>
      </w:r>
      <w:proofErr w:type="spellEnd"/>
      <w:r>
        <w:rPr>
          <w:sz w:val="24"/>
        </w:rPr>
        <w:t>.</w:t>
      </w:r>
    </w:p>
    <w:p w14:paraId="339F2682" w14:textId="77777777" w:rsidR="00E960FA" w:rsidRDefault="0012208E">
      <w:pPr>
        <w:pStyle w:val="Tekstpodstawowy"/>
        <w:ind w:left="116" w:firstLine="0"/>
        <w:jc w:val="left"/>
      </w:pPr>
      <w:r>
        <w:rPr>
          <w:w w:val="99"/>
        </w:rPr>
        <w:t>.</w:t>
      </w:r>
    </w:p>
    <w:sectPr w:rsidR="00E960FA">
      <w:pgSz w:w="11900" w:h="16840"/>
      <w:pgMar w:top="1340" w:right="1300" w:bottom="980" w:left="1300" w:header="0" w:footer="7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B0B3" w14:textId="77777777" w:rsidR="00223592" w:rsidRDefault="00223592">
      <w:r>
        <w:separator/>
      </w:r>
    </w:p>
  </w:endnote>
  <w:endnote w:type="continuationSeparator" w:id="0">
    <w:p w14:paraId="2398A275" w14:textId="77777777" w:rsidR="00223592" w:rsidRDefault="0022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C274" w14:textId="58675B92" w:rsidR="00E960FA" w:rsidRDefault="00F1052E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BA3A93" wp14:editId="1E8466C5">
              <wp:simplePos x="0" y="0"/>
              <wp:positionH relativeFrom="page">
                <wp:posOffset>3716020</wp:posOffset>
              </wp:positionH>
              <wp:positionV relativeFrom="page">
                <wp:posOffset>10056495</wp:posOffset>
              </wp:positionV>
              <wp:extent cx="127000" cy="19431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5D39F" w14:textId="77777777" w:rsidR="00E960FA" w:rsidRDefault="0012208E">
                          <w:pPr>
                            <w:pStyle w:val="Tekstpodstawowy"/>
                            <w:spacing w:before="10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A3A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1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" filled="f" stroked="f">
              <v:textbox inset="0,0,0,0">
                <w:txbxContent>
                  <w:p w14:paraId="5165D39F" w14:textId="77777777" w:rsidR="00E960FA" w:rsidRDefault="0012208E">
                    <w:pPr>
                      <w:pStyle w:val="Tekstpodstawowy"/>
                      <w:spacing w:before="10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29D5" w14:textId="77777777" w:rsidR="00223592" w:rsidRDefault="00223592">
      <w:r>
        <w:separator/>
      </w:r>
    </w:p>
  </w:footnote>
  <w:footnote w:type="continuationSeparator" w:id="0">
    <w:p w14:paraId="7986A0F0" w14:textId="77777777" w:rsidR="00223592" w:rsidRDefault="0022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A1C"/>
    <w:multiLevelType w:val="hybridMultilevel"/>
    <w:tmpl w:val="EDFECB2E"/>
    <w:lvl w:ilvl="0" w:tplc="380C92C2">
      <w:start w:val="1"/>
      <w:numFmt w:val="upperRoman"/>
      <w:lvlText w:val="%1."/>
      <w:lvlJc w:val="left"/>
      <w:pPr>
        <w:ind w:left="214" w:hanging="214"/>
        <w:jc w:val="right"/>
      </w:pPr>
      <w:rPr>
        <w:rFonts w:ascii="Times New Roman" w:eastAsia="Times New Roman" w:hAnsi="Times New Roman" w:cs="Times New Roman" w:hint="default"/>
        <w:b/>
        <w:bCs/>
        <w:color w:val="323232"/>
        <w:w w:val="99"/>
        <w:sz w:val="24"/>
        <w:szCs w:val="24"/>
      </w:rPr>
    </w:lvl>
    <w:lvl w:ilvl="1" w:tplc="AA1803A6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4C2DC1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AE78B448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C91233A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CA12BA46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95D6BA1A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F2E4CF4E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6BF2A526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" w15:restartNumberingAfterBreak="0">
    <w:nsid w:val="581C792E"/>
    <w:multiLevelType w:val="hybridMultilevel"/>
    <w:tmpl w:val="57F26E66"/>
    <w:lvl w:ilvl="0" w:tplc="9C468F2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C69BAC">
      <w:start w:val="1"/>
      <w:numFmt w:val="lowerLetter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B0AC79C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20884B04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522410A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68645244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5B38E64E"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BC904EF0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C2C48AB8"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A"/>
    <w:rsid w:val="0012208E"/>
    <w:rsid w:val="00223592"/>
    <w:rsid w:val="004435C8"/>
    <w:rsid w:val="00E960FA"/>
    <w:rsid w:val="00F1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AD0C1"/>
  <w15:docId w15:val="{8863669F-B7C4-476A-9882-2C2FF5EB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408" w:hanging="38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43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mark.ne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1730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WARUNKI SPRZEDAŻY FIRMY DEMARK</dc:title>
  <dc:creator>marcin.orlowski</dc:creator>
  <cp:keywords>()</cp:keywords>
  <cp:lastModifiedBy>Dorota Janowska</cp:lastModifiedBy>
  <cp:revision>2</cp:revision>
  <cp:lastPrinted>2019-12-20T06:37:00Z</cp:lastPrinted>
  <dcterms:created xsi:type="dcterms:W3CDTF">2019-12-20T06:39:00Z</dcterms:created>
  <dcterms:modified xsi:type="dcterms:W3CDTF">2019-12-20T06:39:00Z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2011-09-05T00:00:00Z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2019-10-29T00:00:00Z</vt:filetime>
  </property>
</Properties>
</file>